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40"/>
          <w:szCs w:val="40"/>
        </w:rPr>
        <w:t xml:space="preserve">Data Processing Agreement</w:t>
      </w:r>
    </w:p>
    <w:p>
      <w:pPr>
        <w:spacing w:after="240"/>
        <w:jc w:val="center"/>
      </w:pPr>
      <w:r>
        <w:rPr>
          <w:color w:val="444444"/>
          <w:sz w:val="26"/>
          <w:szCs w:val="26"/>
        </w:rPr>
        <w:t xml:space="preserve">PICRAT Suite</w:t>
      </w:r>
    </w:p>
    <w:p>
      <w:pPr>
        <w:pStyle w:val="Heading1"/>
      </w:pPr>
      <w:r>
        <w:t xml:space="preserve">Parties</w:t>
      </w:r>
    </w:p>
    <w:p>
      <w:pPr>
        <w:spacing w:after="120"/>
      </w:pPr>
      <w:r>
        <w:t xml:space="preserve">This Data Processing Agreement (the “DPA”) is made between:</w:t>
      </w:r>
    </w:p>
    <w:p>
      <w:pPr>
        <w:spacing w:after="120"/>
      </w:pPr>
      <w:r>
        <w:rPr>
          <w:b/>
          <w:bCs/>
        </w:rPr>
        <w:t xml:space="preserve">(1) </w:t>
      </w:r>
      <w:r>
        <w:rPr>
          <w:b/>
          <w:bCs/>
          <w:color w:val="B00000"/>
        </w:rPr>
        <w:t xml:space="preserve">[CONTROLLER LEGAL NAME]</w:t>
      </w:r>
      <w:r>
        <w:t xml:space="preserve"> of </w:t>
      </w:r>
      <w:r>
        <w:rPr>
          <w:b/>
          <w:bCs/>
          <w:color w:val="B00000"/>
        </w:rPr>
        <w:t xml:space="preserve">[Controller address]</w:t>
      </w:r>
      <w:r>
        <w:t xml:space="preserve"> (the “Controller”, meaning your school, multi-academy trust or other organisation); and</w:t>
      </w:r>
    </w:p>
    <w:p>
      <w:pPr>
        <w:spacing w:after="120"/>
      </w:pPr>
      <w:r>
        <w:rPr>
          <w:b/>
          <w:bCs/>
        </w:rPr>
        <w:t xml:space="preserve">(2) </w:t>
      </w:r>
      <w:r>
        <w:rPr>
          <w:b/>
          <w:bCs/>
        </w:rPr>
        <w:t xml:space="preserve">Andy Perryer, trading as PICRAT Suite</w:t>
      </w:r>
      <w:r>
        <w:t xml:space="preserve">, operating from the United Kingdom (the “Processor”), contactable at privacy@picrat.com.</w:t>
      </w:r>
    </w:p>
    <w:p>
      <w:pPr>
        <w:spacing w:after="120"/>
      </w:pPr>
      <w:r>
        <w:t xml:space="preserve">This DPA takes effect on the date it is signed by both Parties.</w:t>
      </w:r>
    </w:p>
    <w:p>
      <w:pPr>
        <w:spacing w:after="120"/>
      </w:pPr>
      <w:r>
        <w:t xml:space="preserve">Each a “Party” and together the “Parties”.</w:t>
      </w:r>
    </w:p>
    <w:p>
      <w:pPr>
        <w:pStyle w:val="Heading1"/>
      </w:pPr>
      <w:r>
        <w:t xml:space="preserve">Background</w:t>
      </w:r>
    </w:p>
    <w:p>
      <w:pPr>
        <w:pStyle w:val="ListParagraph"/>
        <w:numPr>
          <w:ilvl w:val="0"/>
          <w:numId w:val="2"/>
        </w:numPr>
        <w:spacing w:after="120"/>
      </w:pPr>
      <w:r>
        <w:t xml:space="preserve">The Controller uses the PICRAT Suite platform (the “Services”), operated by the Processor. In providing the Services, the Processor processes personal data on behalf of the Controller.</w:t>
      </w:r>
    </w:p>
    <w:p>
      <w:pPr>
        <w:pStyle w:val="ListParagraph"/>
        <w:numPr>
          <w:ilvl w:val="0"/>
          <w:numId w:val="2"/>
        </w:numPr>
        <w:spacing w:after="120"/>
      </w:pPr>
      <w:r>
        <w:t xml:space="preserve">This DPA sets out the terms on which the Processor processes that personal data, and records the arrangement required by Article 28 of the UK GDPR. It applies in addition to the Processor’s Terms of Service and Privacy Notice, which are available at picrat.com.</w:t>
      </w:r>
    </w:p>
    <w:p>
      <w:pPr>
        <w:pStyle w:val="ListParagraph"/>
        <w:numPr>
          <w:ilvl w:val="0"/>
          <w:numId w:val="2"/>
        </w:numPr>
        <w:spacing w:after="120"/>
      </w:pPr>
      <w:r>
        <w:t xml:space="preserve">Where a teacher signs up to the Services in a personal capacity rather than under the Controller’s arrangement, the Processor acts as controller for that account and this DPA does not apply to it. This DPA governs processing carried out on the Controller’s behalf.</w:t>
      </w:r>
    </w:p>
    <w:p>
      <w:pPr>
        <w:pStyle w:val="Heading1"/>
      </w:pPr>
      <w:r>
        <w:t xml:space="preserve">1. Definitions</w:t>
      </w:r>
    </w:p>
    <w:p>
      <w:pPr>
        <w:spacing w:after="120"/>
      </w:pPr>
      <w:r>
        <w:t xml:space="preserve">In this DPA:</w:t>
      </w:r>
    </w:p>
    <w:p>
      <w:pPr>
        <w:spacing w:after="100"/>
      </w:pPr>
      <w:r>
        <w:rPr>
          <w:b w:val="false"/>
          <w:bCs w:val="false"/>
        </w:rPr>
        <w:t xml:space="preserve">“Applicable Data Protection Law” means </w:t>
      </w:r>
      <w:r>
        <w:t xml:space="preserve">the UK GDPR (the retained EU General Data Protection Regulation), the Data Protection Act 2018, and any other data protection law in force in the United Kingdom, as amended.</w:t>
      </w:r>
    </w:p>
    <w:p>
      <w:pPr>
        <w:spacing w:after="100"/>
      </w:pPr>
      <w:r>
        <w:rPr>
          <w:b w:val="false"/>
          <w:bCs w:val="false"/>
        </w:rPr>
        <w:t xml:space="preserve">“Controller”, “Processor”, “Data Subject”, “Personal Data”, “Processing”, “Personal Data Breach” means </w:t>
      </w:r>
      <w:r>
        <w:t xml:space="preserve">have the meanings given in Applicable Data Protection Law.</w:t>
      </w:r>
    </w:p>
    <w:p>
      <w:pPr>
        <w:spacing w:after="100"/>
      </w:pPr>
      <w:r>
        <w:rPr>
          <w:b w:val="false"/>
          <w:bCs w:val="false"/>
        </w:rPr>
        <w:t xml:space="preserve">“Sub-processor” means </w:t>
      </w:r>
      <w:r>
        <w:t xml:space="preserve">any third party engaged by the Processor to process Personal Data on behalf of the Controller in connection with the Services.</w:t>
      </w:r>
    </w:p>
    <w:p>
      <w:pPr>
        <w:spacing w:after="100"/>
      </w:pPr>
      <w:r>
        <w:rPr>
          <w:b w:val="false"/>
          <w:bCs w:val="false"/>
        </w:rPr>
        <w:t xml:space="preserve">“Services” means </w:t>
      </w:r>
      <w:r>
        <w:t xml:space="preserve">the PICRAT Suite platform and related services provided by the Processor to the Controller.</w:t>
      </w:r>
    </w:p>
    <w:p>
      <w:pPr>
        <w:pStyle w:val="Heading1"/>
      </w:pPr>
      <w:r>
        <w:t xml:space="preserve">2. Roles and scope of processing</w:t>
      </w:r>
    </w:p>
    <w:p>
      <w:pPr>
        <w:pStyle w:val="ListParagraph"/>
        <w:numPr>
          <w:ilvl w:val="0"/>
          <w:numId w:val="3"/>
        </w:numPr>
        <w:spacing w:after="120"/>
      </w:pPr>
      <w:r>
        <w:t xml:space="preserve">For Personal Data processed under this DPA, the Controller is the controller and the Processor is the processor. The Processor processes Personal Data only for the purpose of providing the Services and only on the Controller’s documented instructions, which comprise this DPA, the Terms of Service, and the Controller’s configuration and use of the Services.</w:t>
      </w:r>
    </w:p>
    <w:p>
      <w:pPr>
        <w:pStyle w:val="ListParagraph"/>
        <w:numPr>
          <w:ilvl w:val="0"/>
          <w:numId w:val="3"/>
        </w:numPr>
        <w:spacing w:after="120"/>
      </w:pPr>
      <w:r>
        <w:t xml:space="preserve">The subject matter, duration, nature and purpose of the processing, the types of Personal Data, and the categories of Data Subjects are set out in Annex 1.</w:t>
      </w:r>
    </w:p>
    <w:p>
      <w:pPr>
        <w:pStyle w:val="ListParagraph"/>
        <w:numPr>
          <w:ilvl w:val="0"/>
          <w:numId w:val="3"/>
        </w:numPr>
        <w:spacing w:after="120"/>
      </w:pPr>
      <w:r>
        <w:t xml:space="preserve">The Processor will inform the Controller if, in its opinion, an instruction infringes Applicable Data Protection Law, and may suspend that part of the processing until the instruction is confirmed, amended or withdrawn.</w:t>
      </w:r>
    </w:p>
    <w:p>
      <w:pPr>
        <w:pStyle w:val="ListParagraph"/>
        <w:numPr>
          <w:ilvl w:val="0"/>
          <w:numId w:val="3"/>
        </w:numPr>
        <w:spacing w:after="120"/>
      </w:pPr>
      <w:r>
        <w:t xml:space="preserve">The Services are intended for use by teachers and school staff (adults). The Controller instructs its users not to submit information that identifies individual pupils into the AI tools. Where such data is submitted, it is processed and retained on the same basis as other lesson content.</w:t>
      </w:r>
    </w:p>
    <w:p>
      <w:pPr>
        <w:pStyle w:val="Heading1"/>
      </w:pPr>
      <w:r>
        <w:t xml:space="preserve">3. Processor obligations</w:t>
      </w:r>
    </w:p>
    <w:p>
      <w:pPr>
        <w:spacing w:after="120"/>
      </w:pPr>
      <w:r>
        <w:t xml:space="preserve">The Processor will:</w:t>
      </w:r>
    </w:p>
    <w:p>
      <w:pPr>
        <w:pStyle w:val="ListParagraph"/>
        <w:numPr>
          <w:ilvl w:val="0"/>
          <w:numId w:val="4"/>
        </w:numPr>
        <w:spacing w:after="100"/>
      </w:pPr>
      <w:r>
        <w:t xml:space="preserve">process the Personal Data only on the Controller’s documented instructions, including with regard to transfers of Personal Data outside the United Kingdom, unless required to do otherwise by law (in which case it will inform the Controller before processing, unless the law prohibits this on important grounds of public interest);</w:t>
      </w:r>
    </w:p>
    <w:p>
      <w:pPr>
        <w:pStyle w:val="ListParagraph"/>
        <w:numPr>
          <w:ilvl w:val="0"/>
          <w:numId w:val="4"/>
        </w:numPr>
        <w:spacing w:after="100"/>
      </w:pPr>
      <w:r>
        <w:t xml:space="preserve">ensure that persons authorised to process the Personal Data are subject to a duty of confidentiality;</w:t>
      </w:r>
    </w:p>
    <w:p>
      <w:pPr>
        <w:pStyle w:val="ListParagraph"/>
        <w:numPr>
          <w:ilvl w:val="0"/>
          <w:numId w:val="4"/>
        </w:numPr>
        <w:spacing w:after="100"/>
      </w:pPr>
      <w:r>
        <w:t xml:space="preserve">implement appropriate technical and organisational measures to ensure a level of security appropriate to the risk, as required by Article 32 of the UK GDPR and as described in Annex 3;</w:t>
      </w:r>
    </w:p>
    <w:p>
      <w:pPr>
        <w:pStyle w:val="ListParagraph"/>
        <w:numPr>
          <w:ilvl w:val="0"/>
          <w:numId w:val="4"/>
        </w:numPr>
        <w:spacing w:after="100"/>
      </w:pPr>
      <w:r>
        <w:t xml:space="preserve">respect the conditions in clause 4 for engaging Sub-processors;</w:t>
      </w:r>
    </w:p>
    <w:p>
      <w:pPr>
        <w:pStyle w:val="ListParagraph"/>
        <w:numPr>
          <w:ilvl w:val="0"/>
          <w:numId w:val="4"/>
        </w:numPr>
        <w:spacing w:after="100"/>
      </w:pPr>
      <w:r>
        <w:t xml:space="preserve">taking into account the nature of the processing, assist the Controller by appropriate technical and organisational measures, insofar as possible, in responding to requests from Data Subjects exercising their rights;</w:t>
      </w:r>
    </w:p>
    <w:p>
      <w:pPr>
        <w:pStyle w:val="ListParagraph"/>
        <w:numPr>
          <w:ilvl w:val="0"/>
          <w:numId w:val="4"/>
        </w:numPr>
        <w:spacing w:after="100"/>
      </w:pPr>
      <w:r>
        <w:t xml:space="preserve">assist the Controller in ensuring compliance with its obligations under Articles 32 to 36 of the UK GDPR (security, breach notification, data protection impact assessments and prior consultation), taking into account the nature of the processing and the information available to the Processor;</w:t>
      </w:r>
    </w:p>
    <w:p>
      <w:pPr>
        <w:pStyle w:val="ListParagraph"/>
        <w:numPr>
          <w:ilvl w:val="0"/>
          <w:numId w:val="4"/>
        </w:numPr>
        <w:spacing w:after="100"/>
      </w:pPr>
      <w:r>
        <w:t xml:space="preserve">at the choice of the Controller, delete or return all Personal Data to the Controller after the end of the provision of the Services, and delete existing copies unless retention is required by law, as set out in clause 7; and</w:t>
      </w:r>
    </w:p>
    <w:p>
      <w:pPr>
        <w:pStyle w:val="ListParagraph"/>
        <w:numPr>
          <w:ilvl w:val="0"/>
          <w:numId w:val="4"/>
        </w:numPr>
        <w:spacing w:after="100"/>
      </w:pPr>
      <w:r>
        <w:t xml:space="preserve">make available to the Controller all information necessary to demonstrate compliance with the obligations in Article 28 of the UK GDPR, and allow for and contribute to audits, including inspections, as set out in clause 8.</w:t>
      </w:r>
    </w:p>
    <w:p>
      <w:pPr>
        <w:pStyle w:val="Heading1"/>
      </w:pPr>
      <w:r>
        <w:t xml:space="preserve">4. Sub-processors</w:t>
      </w:r>
    </w:p>
    <w:p>
      <w:pPr>
        <w:pStyle w:val="ListParagraph"/>
        <w:numPr>
          <w:ilvl w:val="0"/>
          <w:numId w:val="5"/>
        </w:numPr>
        <w:spacing w:after="120"/>
      </w:pPr>
      <w:r>
        <w:t xml:space="preserve">The Controller gives the Processor general written authorisation to engage the Sub-processors listed in Annex 2. Each Sub-processor is engaged under a written contract imposing data protection obligations equivalent to those in this DPA.</w:t>
      </w:r>
    </w:p>
    <w:p>
      <w:pPr>
        <w:pStyle w:val="ListParagraph"/>
        <w:numPr>
          <w:ilvl w:val="0"/>
          <w:numId w:val="5"/>
        </w:numPr>
        <w:spacing w:after="120"/>
      </w:pPr>
      <w:r>
        <w:t xml:space="preserve">The Processor will inform the Controller of any intended change concerning the addition or replacement of a Sub-processor at least fourteen (14) days in advance, giving the Controller the opportunity to object. Notice may be given by email or by updating the sub-processor list published at picrat.com/privacy.</w:t>
      </w:r>
    </w:p>
    <w:p>
      <w:pPr>
        <w:pStyle w:val="ListParagraph"/>
        <w:numPr>
          <w:ilvl w:val="0"/>
          <w:numId w:val="5"/>
        </w:numPr>
        <w:spacing w:after="120"/>
      </w:pPr>
      <w:r>
        <w:t xml:space="preserve">Where the Controller reasonably objects to a change on data protection grounds, the Parties will work in good faith to resolve it. If it cannot be resolved, the Controller may terminate the affected Services.</w:t>
      </w:r>
    </w:p>
    <w:p>
      <w:pPr>
        <w:pStyle w:val="ListParagraph"/>
        <w:numPr>
          <w:ilvl w:val="0"/>
          <w:numId w:val="5"/>
        </w:numPr>
        <w:spacing w:after="120"/>
      </w:pPr>
      <w:r>
        <w:t xml:space="preserve">The Processor remains fully liable to the Controller for the performance of each Sub-processor’s obligations.</w:t>
      </w:r>
    </w:p>
    <w:p>
      <w:pPr>
        <w:pStyle w:val="Heading1"/>
      </w:pPr>
      <w:r>
        <w:t xml:space="preserve">5. International transfers</w:t>
      </w:r>
    </w:p>
    <w:p>
      <w:pPr>
        <w:pStyle w:val="ListParagraph"/>
        <w:numPr>
          <w:ilvl w:val="0"/>
          <w:numId w:val="6"/>
        </w:numPr>
        <w:spacing w:after="120"/>
      </w:pPr>
      <w:r>
        <w:t xml:space="preserve">Personal Data processed under this DPA is hosted in the European Union (Ireland). Where a Sub-processor processes Personal Data outside the United Kingdom or EEA, the Processor ensures an appropriate transfer mechanism is in place, such as UK adequacy regulations, the UK extension to the EU-US Data Privacy Framework, or the UK International Data Transfer Addendum to the EU Standard Contractual Clauses. The mechanism relied on for each Sub-processor is shown in Annex 2.</w:t>
      </w:r>
    </w:p>
    <w:p>
      <w:pPr>
        <w:pStyle w:val="Heading1"/>
      </w:pPr>
      <w:r>
        <w:t xml:space="preserve">6. Personal data breaches</w:t>
      </w:r>
    </w:p>
    <w:p>
      <w:pPr>
        <w:pStyle w:val="ListParagraph"/>
        <w:numPr>
          <w:ilvl w:val="0"/>
          <w:numId w:val="7"/>
        </w:numPr>
        <w:spacing w:after="120"/>
      </w:pPr>
      <w:r>
        <w:t xml:space="preserve">The Processor will notify the Controller without undue delay, and in any event within seventy-two (72) hours, after becoming aware of a Personal Data Breach affecting the Controller’s Personal Data.</w:t>
      </w:r>
    </w:p>
    <w:p>
      <w:pPr>
        <w:pStyle w:val="ListParagraph"/>
        <w:numPr>
          <w:ilvl w:val="0"/>
          <w:numId w:val="7"/>
        </w:numPr>
        <w:spacing w:after="120"/>
      </w:pPr>
      <w:r>
        <w:t xml:space="preserve">The notification will describe, to the extent known, the nature of the breach, the categories and approximate number of Data Subjects and records affected, the likely consequences, and the measures taken or proposed to address it. The Processor will provide further information as it becomes available and will assist the Controller in meeting its own notification obligations to the Information Commissioner’s Office and to affected Data Subjects.</w:t>
      </w:r>
    </w:p>
    <w:p>
      <w:pPr>
        <w:pStyle w:val="Heading1"/>
      </w:pPr>
      <w:r>
        <w:t xml:space="preserve">7. Data subject requests</w:t>
      </w:r>
    </w:p>
    <w:p>
      <w:pPr>
        <w:pStyle w:val="ListParagraph"/>
        <w:numPr>
          <w:ilvl w:val="0"/>
          <w:numId w:val="8"/>
        </w:numPr>
        <w:spacing w:after="120"/>
      </w:pPr>
      <w:r>
        <w:t xml:space="preserve">The Services provide self-service tools that let account holders export and delete their own data. Where the Controller receives a request from a Data Subject that requires the Processor’s assistance, the Processor will provide reasonable cooperation and technical assistance to enable the Controller to respond within statutory time limits.</w:t>
      </w:r>
    </w:p>
    <w:p>
      <w:pPr>
        <w:pStyle w:val="ListParagraph"/>
        <w:numPr>
          <w:ilvl w:val="0"/>
          <w:numId w:val="8"/>
        </w:numPr>
        <w:spacing w:after="120"/>
      </w:pPr>
      <w:r>
        <w:t xml:space="preserve">If the Processor receives a request directly from a Data Subject relating to processing carried out on the Controller’s behalf, it will, without undue delay, forward the request to the Controller and will not respond to it directly except on the Controller’s instruction or as required by law.</w:t>
      </w:r>
    </w:p>
    <w:p>
      <w:pPr>
        <w:pStyle w:val="Heading1"/>
      </w:pPr>
      <w:r>
        <w:t xml:space="preserve">8. Records and audit</w:t>
      </w:r>
    </w:p>
    <w:p>
      <w:pPr>
        <w:pStyle w:val="ListParagraph"/>
        <w:numPr>
          <w:ilvl w:val="0"/>
          <w:numId w:val="9"/>
        </w:numPr>
        <w:spacing w:after="120"/>
      </w:pPr>
      <w:r>
        <w:t xml:space="preserve">The Processor will maintain records of its processing activities and make available to the Controller information reasonably necessary to demonstrate compliance with this DPA and Article 28 of the UK GDPR.</w:t>
      </w:r>
    </w:p>
    <w:p>
      <w:pPr>
        <w:pStyle w:val="ListParagraph"/>
        <w:numPr>
          <w:ilvl w:val="0"/>
          <w:numId w:val="9"/>
        </w:numPr>
        <w:spacing w:after="120"/>
      </w:pPr>
      <w:r>
        <w:t xml:space="preserve">On reasonable prior written notice of at least thirty (30) days, and no more than once in any twelve-month period (unless required by a supervisory authority or following a Personal Data Breach), the Controller may audit the Processor’s compliance. Audits will be conducted during business hours, subject to confidentiality, and in a manner that minimises disruption to the Processor’s operations.</w:t>
      </w:r>
    </w:p>
    <w:p>
      <w:pPr>
        <w:pStyle w:val="Heading1"/>
      </w:pPr>
      <w:r>
        <w:t xml:space="preserve">9. Retention, deletion and return</w:t>
      </w:r>
    </w:p>
    <w:p>
      <w:pPr>
        <w:pStyle w:val="ListParagraph"/>
        <w:numPr>
          <w:ilvl w:val="0"/>
          <w:numId w:val="10"/>
        </w:numPr>
        <w:spacing w:after="120"/>
      </w:pPr>
      <w:r>
        <w:t xml:space="preserve">The Processor applies the retention schedule published in its Privacy Notice. Personal Data is either deleted or anonymised at the end of the applicable retention period.</w:t>
      </w:r>
    </w:p>
    <w:p>
      <w:pPr>
        <w:pStyle w:val="ListParagraph"/>
        <w:numPr>
          <w:ilvl w:val="0"/>
          <w:numId w:val="10"/>
        </w:numPr>
        <w:spacing w:after="120"/>
      </w:pPr>
      <w:r>
        <w:t xml:space="preserve">On termination of the Services, or on the Controller’s written request, the Processor will delete or return all Personal Data processed on the Controller’s behalf within </w:t>
      </w:r>
      <w:r>
        <w:rPr>
          <w:b/>
          <w:bCs/>
          <w:color w:val="B00000"/>
        </w:rPr>
        <w:t xml:space="preserve">[30]</w:t>
      </w:r>
      <w:r>
        <w:t xml:space="preserve"> days, and will delete existing copies, unless retention is required by law. Anonymised data that can no longer be linked to an individual is not Personal Data and may be retained.</w:t>
      </w:r>
    </w:p>
    <w:p>
      <w:pPr>
        <w:pStyle w:val="Heading1"/>
      </w:pPr>
      <w:r>
        <w:t xml:space="preserve">10. Liability</w:t>
      </w:r>
    </w:p>
    <w:p>
      <w:pPr>
        <w:pStyle w:val="ListParagraph"/>
        <w:numPr>
          <w:ilvl w:val="0"/>
          <w:numId w:val="11"/>
        </w:numPr>
        <w:spacing w:after="120"/>
      </w:pPr>
      <w:r>
        <w:t xml:space="preserve">The liability of each Party under or in connection with this DPA is subject to the limitations and exclusions of liability set out in the Terms of Service between the Parties. This DPA does not limit any right or remedy a Data Subject may have under Applicable Data Protection Law.</w:t>
      </w:r>
    </w:p>
    <w:p>
      <w:pPr>
        <w:pStyle w:val="Heading1"/>
      </w:pPr>
      <w:r>
        <w:t xml:space="preserve">11. Term and termination</w:t>
      </w:r>
    </w:p>
    <w:p>
      <w:pPr>
        <w:pStyle w:val="ListParagraph"/>
        <w:numPr>
          <w:ilvl w:val="0"/>
          <w:numId w:val="12"/>
        </w:numPr>
        <w:spacing w:after="120"/>
      </w:pPr>
      <w:r>
        <w:t xml:space="preserve">This DPA takes effect on the date it is signed by both Parties and continues for as long as the Processor processes Personal Data on the Controller’s behalf. Clauses that by their nature should survive termination (including clauses 6, 8, 9 and 10) survive.</w:t>
      </w:r>
    </w:p>
    <w:p>
      <w:pPr>
        <w:pStyle w:val="Heading1"/>
      </w:pPr>
      <w:r>
        <w:t xml:space="preserve">12. Governing law and jurisdiction</w:t>
      </w:r>
    </w:p>
    <w:p>
      <w:pPr>
        <w:pStyle w:val="ListParagraph"/>
        <w:numPr>
          <w:ilvl w:val="0"/>
          <w:numId w:val="13"/>
        </w:numPr>
        <w:spacing w:after="120"/>
      </w:pPr>
      <w:r>
        <w:t xml:space="preserve">This DPA is governed by the laws of England and Wales, and the Parties submit to the exclusive jurisdiction of the courts of England and Wales.</w:t>
      </w:r>
    </w:p>
    <w:p>
      <w:pPr>
        <w:pStyle w:val="Heading1"/>
      </w:pPr>
      <w:r>
        <w:t xml:space="preserve">13. General</w:t>
      </w:r>
    </w:p>
    <w:p>
      <w:pPr>
        <w:pStyle w:val="ListParagraph"/>
        <w:numPr>
          <w:ilvl w:val="0"/>
          <w:numId w:val="14"/>
        </w:numPr>
        <w:spacing w:after="120"/>
      </w:pPr>
      <w:r>
        <w:t xml:space="preserve">If there is any conflict between this DPA and the Terms of Service on the subject of data protection, this DPA prevails. Any variation to this DPA must be agreed in writing by both Parties. If any provision is found to be unenforceable, the remaining provisions continue in force.</w:t>
      </w:r>
    </w:p>
    <w:p>
      <w:pPr>
        <w:pStyle w:val="ListParagraph"/>
        <w:numPr>
          <w:ilvl w:val="0"/>
          <w:numId w:val="14"/>
        </w:numPr>
        <w:spacing w:after="120"/>
      </w:pPr>
      <w:r>
        <w:t xml:space="preserve">Notices under this DPA must be in writing. Notices to the Processor should be sent to privacy@picrat.com. Notices to the Controller will be sent to the contact details the Controller provides in the signature block below.</w:t>
      </w:r>
    </w:p>
    <w:p>
      <w:pPr>
        <w:pStyle w:val="Heading1"/>
        <w:pageBreakBefore/>
      </w:pPr>
      <w:r>
        <w:t xml:space="preserve">Annex 1: Details of the processing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rPr>
          <w:tblHeader/>
        </w:trPr>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Item</w:t>
            </w:r>
          </w:p>
        </w:tc>
        <w:tc>
          <w:tcPr>
            <w:tcW w:type="dxa" w:w="6626"/>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Detail</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Subject matter</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Provision of the PICRAT Suite platform to the Controller and the processing of Personal Data necessary to deliver it.</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Duration</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For the term of the Controller’s use of the Services and until Personal Data is deleted or returned in line with clause 9.</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Nature and purpose</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Hosting a professional-development platform for teachers; authenticating accounts and personalising tool suggestions; processing lesson text through a generative AI service to produce feedback; and generating aggregate, non-identifying analytics to operate and improve the Services.</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Types of Personal Data</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Name, email address and school name; teaching profile (age groups, subjects, self-reported confidence, goals); login records and session metadata; lesson text and AI responses submitted to the tools; practice-quiz results; Coach conversation history; optional page feedback; and usage analytics. No special-category data is intentionally collected.</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Categories of Data Subject</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The Controller’s teaching and other staff who hold accounts. Only where a user submits it, individuals referenced in lesson text (which users are instructed not to include).</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Special categories</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None requested or required. Users are asked not to submit special-category or pupil-identifying data.</w:t>
            </w:r>
          </w:p>
        </w:tc>
      </w:tr>
    </w:tbl>
    <w:p>
      <w:pPr>
        <w:pStyle w:val="Heading1"/>
        <w:pageBreakBefore/>
      </w:pPr>
      <w:r>
        <w:t xml:space="preserve">Annex 2: Approved sub-processors</w:t>
      </w:r>
    </w:p>
    <w:p>
      <w:pPr>
        <w:spacing w:after="120"/>
      </w:pPr>
      <w:r>
        <w:t xml:space="preserve">The current list is also published at picrat.com/privacy and may be updated in line with clause 4.</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3026"/>
        <w:gridCol w:w="1650"/>
        <w:gridCol w:w="2250"/>
      </w:tblGrid>
      <w:tr>
        <w:trPr>
          <w:tblHeader/>
        </w:trPr>
        <w:tc>
          <w:tcPr>
            <w:tcW w:type="dxa" w:w="21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Sub-processor</w:t>
            </w:r>
          </w:p>
        </w:tc>
        <w:tc>
          <w:tcPr>
            <w:tcW w:type="dxa" w:w="3026"/>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Purpose</w:t>
            </w:r>
          </w:p>
        </w:tc>
        <w:tc>
          <w:tcPr>
            <w:tcW w:type="dxa" w:w="165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Location</w:t>
            </w:r>
          </w:p>
        </w:tc>
        <w:tc>
          <w:tcPr>
            <w:tcW w:type="dxa" w:w="225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Transfer mechanism</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Google (Gemini API, paid tier)</w:t>
            </w:r>
          </w:p>
        </w:tc>
        <w:tc>
          <w:tcPr>
            <w:tcW w:type="dxa" w:w="30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Generative AI for lesson analysis, review, generation and coaching.</w:t>
            </w:r>
          </w:p>
        </w:tc>
        <w:tc>
          <w:tcPr>
            <w:tcW w:type="dxa" w:w="16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Globally routed by Google.</w:t>
            </w:r>
          </w:p>
        </w:tc>
        <w:tc>
          <w:tcPr>
            <w:tcW w:type="dxa" w:w="22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UK extension to the EU-US Data Privacy Framework, supported by the UK IDTA.</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Anthropic (Claude API)</w:t>
            </w:r>
          </w:p>
        </w:tc>
        <w:tc>
          <w:tcPr>
            <w:tcW w:type="dxa" w:w="30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Admin-side teacher profile summaries (aggregated data only).</w:t>
            </w:r>
          </w:p>
        </w:tc>
        <w:tc>
          <w:tcPr>
            <w:tcW w:type="dxa" w:w="16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United States.</w:t>
            </w:r>
          </w:p>
        </w:tc>
        <w:tc>
          <w:tcPr>
            <w:tcW w:type="dxa" w:w="22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Standard Contractual Clauses and the UK IDTA.</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Heroku (Salesforce)</w:t>
            </w:r>
          </w:p>
        </w:tc>
        <w:tc>
          <w:tcPr>
            <w:tcW w:type="dxa" w:w="30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Application hosting. Production runs in the EU region.</w:t>
            </w:r>
          </w:p>
        </w:tc>
        <w:tc>
          <w:tcPr>
            <w:tcW w:type="dxa" w:w="16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EU (Ireland).</w:t>
            </w:r>
          </w:p>
        </w:tc>
        <w:tc>
          <w:tcPr>
            <w:tcW w:type="dxa" w:w="22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Data hosted in the EU; Binding Corporate Rules for intra-group transfers.</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Heroku Postgres</w:t>
            </w:r>
          </w:p>
        </w:tc>
        <w:tc>
          <w:tcPr>
            <w:tcW w:type="dxa" w:w="30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Managed PostgreSQL database, co-located with the application.</w:t>
            </w:r>
          </w:p>
        </w:tc>
        <w:tc>
          <w:tcPr>
            <w:tcW w:type="dxa" w:w="16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EU (Ireland).</w:t>
            </w:r>
          </w:p>
        </w:tc>
        <w:tc>
          <w:tcPr>
            <w:tcW w:type="dxa" w:w="22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Data hosted in the EU.</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Postmark</w:t>
            </w:r>
          </w:p>
        </w:tc>
        <w:tc>
          <w:tcPr>
            <w:tcW w:type="dxa" w:w="30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Transactional email (sign-in magic links, reports, notifications).</w:t>
            </w:r>
          </w:p>
        </w:tc>
        <w:tc>
          <w:tcPr>
            <w:tcW w:type="dxa" w:w="16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United States / global.</w:t>
            </w:r>
          </w:p>
        </w:tc>
        <w:tc>
          <w:tcPr>
            <w:tcW w:type="dxa" w:w="22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Standard Contractual Clauses and the UK IDTA.</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Cloudflare</w:t>
            </w:r>
          </w:p>
        </w:tc>
        <w:tc>
          <w:tcPr>
            <w:tcW w:type="dxa" w:w="30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DNS, content delivery and bot protection (Turnstile).</w:t>
            </w:r>
          </w:p>
        </w:tc>
        <w:tc>
          <w:tcPr>
            <w:tcW w:type="dxa" w:w="16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Global.</w:t>
            </w:r>
          </w:p>
        </w:tc>
        <w:tc>
          <w:tcPr>
            <w:tcW w:type="dxa" w:w="22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UK extension to the EU-US Data Privacy Framework, supported by the UK IDTA.</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Mapbox</w:t>
            </w:r>
          </w:p>
        </w:tc>
        <w:tc>
          <w:tcPr>
            <w:tcW w:type="dxa" w:w="30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Geocoding of school names for the map. Only school name and location are sent, not individual personal data.</w:t>
            </w:r>
          </w:p>
        </w:tc>
        <w:tc>
          <w:tcPr>
            <w:tcW w:type="dxa" w:w="16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United States / global.</w:t>
            </w:r>
          </w:p>
        </w:tc>
        <w:tc>
          <w:tcPr>
            <w:tcW w:type="dxa" w:w="22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Standard Contractual Clauses and the UK IDTA.</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GoDaddy</w:t>
            </w:r>
          </w:p>
        </w:tc>
        <w:tc>
          <w:tcPr>
            <w:tcW w:type="dxa" w:w="3026"/>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Domain registrar for picrat.com.</w:t>
            </w:r>
          </w:p>
        </w:tc>
        <w:tc>
          <w:tcPr>
            <w:tcW w:type="dxa" w:w="16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Global.</w:t>
            </w:r>
          </w:p>
        </w:tc>
        <w:tc>
          <w:tcPr>
            <w:tcW w:type="dxa" w:w="225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Standard Contractual Clauses / UK IDTA as applicable.</w:t>
            </w:r>
          </w:p>
        </w:tc>
      </w:tr>
    </w:tbl>
    <w:p>
      <w:pPr>
        <w:pStyle w:val="Heading1"/>
        <w:pageBreakBefore/>
      </w:pPr>
      <w:r>
        <w:t xml:space="preserve">Annex 3: Technical and organisational measures</w:t>
      </w:r>
    </w:p>
    <w:p>
      <w:pPr>
        <w:spacing w:after="120"/>
      </w:pPr>
      <w:r>
        <w:t xml:space="preserve">The Processor maintains the following measures, reviewed periodically and updated as the Services develop:</w:t>
      </w:r>
    </w:p>
    <w:p>
      <w:pPr>
        <w:pStyle w:val="ListParagraph"/>
        <w:numPr>
          <w:ilvl w:val="0"/>
          <w:numId w:val="15"/>
        </w:numPr>
        <w:spacing w:after="80"/>
      </w:pPr>
      <w:r>
        <w:t xml:space="preserve">Passwords are hashed with bcrypt (12 salt rounds) and never stored in plain text.</w:t>
      </w:r>
    </w:p>
    <w:p>
      <w:pPr>
        <w:pStyle w:val="ListParagraph"/>
        <w:numPr>
          <w:ilvl w:val="0"/>
          <w:numId w:val="15"/>
        </w:numPr>
        <w:spacing w:after="80"/>
      </w:pPr>
      <w:r>
        <w:t xml:space="preserve">Data is encrypted in transit (TLS/HTTPS enforced, with automatic HTTP to HTTPS redirect) and at rest.</w:t>
      </w:r>
    </w:p>
    <w:p>
      <w:pPr>
        <w:pStyle w:val="ListParagraph"/>
        <w:numPr>
          <w:ilvl w:val="0"/>
          <w:numId w:val="15"/>
        </w:numPr>
        <w:spacing w:after="80"/>
      </w:pPr>
      <w:r>
        <w:t xml:space="preserve">Session cookies are set httpOnly, Secure and SameSite=Lax; the session identifier is regenerated on sign-in to prevent session fixation.</w:t>
      </w:r>
    </w:p>
    <w:p>
      <w:pPr>
        <w:pStyle w:val="ListParagraph"/>
        <w:numPr>
          <w:ilvl w:val="0"/>
          <w:numId w:val="15"/>
        </w:numPr>
        <w:spacing w:after="80"/>
      </w:pPr>
      <w:r>
        <w:t xml:space="preserve">All database queries use parameterised placeholders to prevent SQL injection.</w:t>
      </w:r>
    </w:p>
    <w:p>
      <w:pPr>
        <w:pStyle w:val="ListParagraph"/>
        <w:numPr>
          <w:ilvl w:val="0"/>
          <w:numId w:val="15"/>
        </w:numPr>
        <w:spacing w:after="80"/>
      </w:pPr>
      <w:r>
        <w:t xml:space="preserve">HTTP security headers are enforced via Helmet, including a Content Security Policy and HSTS.</w:t>
      </w:r>
    </w:p>
    <w:p>
      <w:pPr>
        <w:pStyle w:val="ListParagraph"/>
        <w:numPr>
          <w:ilvl w:val="0"/>
          <w:numId w:val="15"/>
        </w:numPr>
        <w:spacing w:after="80"/>
      </w:pPr>
      <w:r>
        <w:t xml:space="preserve">Rate limiting is applied to authentication routes, the AI proxy and write-side API endpoints.</w:t>
      </w:r>
    </w:p>
    <w:p>
      <w:pPr>
        <w:pStyle w:val="ListParagraph"/>
        <w:numPr>
          <w:ilvl w:val="0"/>
          <w:numId w:val="15"/>
        </w:numPr>
        <w:spacing w:after="80"/>
      </w:pPr>
      <w:r>
        <w:t xml:space="preserve">The sign-in (magic link) endpoint is protected by a layered defence: a honeypot field, a disposable-domain blocklist, Cloudflare Turnstile, and per-IP limits.</w:t>
      </w:r>
    </w:p>
    <w:p>
      <w:pPr>
        <w:pStyle w:val="ListParagraph"/>
        <w:numPr>
          <w:ilvl w:val="0"/>
          <w:numId w:val="15"/>
        </w:numPr>
        <w:spacing w:after="80"/>
      </w:pPr>
      <w:r>
        <w:t xml:space="preserve">AI and other API keys are held server-side only and are never exposed to the browser.</w:t>
      </w:r>
    </w:p>
    <w:p>
      <w:pPr>
        <w:pStyle w:val="ListParagraph"/>
        <w:numPr>
          <w:ilvl w:val="0"/>
          <w:numId w:val="15"/>
        </w:numPr>
        <w:spacing w:after="80"/>
      </w:pPr>
      <w:r>
        <w:t xml:space="preserve">Production data is hosted in the EU (Ireland) on managed infrastructure; direct database access is restricted to the operator through the managed control plane.</w:t>
      </w:r>
    </w:p>
    <w:p>
      <w:pPr>
        <w:pStyle w:val="ListParagraph"/>
        <w:numPr>
          <w:ilvl w:val="0"/>
          <w:numId w:val="15"/>
        </w:numPr>
        <w:spacing w:after="80"/>
      </w:pPr>
      <w:r>
        <w:t xml:space="preserve">Administrative actions are recorded in an audit log.</w:t>
      </w:r>
    </w:p>
    <w:p>
      <w:pPr>
        <w:pStyle w:val="ListParagraph"/>
        <w:numPr>
          <w:ilvl w:val="0"/>
          <w:numId w:val="15"/>
        </w:numPr>
        <w:spacing w:after="80"/>
      </w:pPr>
      <w:r>
        <w:t xml:space="preserve">A documented retention schedule is enforced automatically, deleting or anonymising Personal Data at the end of each retention period.</w:t>
      </w:r>
    </w:p>
    <w:p>
      <w:pPr>
        <w:pStyle w:val="ListParagraph"/>
        <w:numPr>
          <w:ilvl w:val="0"/>
          <w:numId w:val="15"/>
        </w:numPr>
        <w:spacing w:after="80"/>
      </w:pPr>
      <w:r>
        <w:t xml:space="preserve">Data-subject self-service tools allow account holders to export and delete their own data.</w:t>
      </w:r>
    </w:p>
    <w:p>
      <w:pPr>
        <w:pStyle w:val="ListParagraph"/>
        <w:numPr>
          <w:ilvl w:val="0"/>
          <w:numId w:val="15"/>
        </w:numPr>
        <w:spacing w:after="80"/>
      </w:pPr>
      <w:r>
        <w:t xml:space="preserve">Routine application updates and dependency patching are applied.</w:t>
      </w:r>
    </w:p>
    <w:p>
      <w:pPr>
        <w:pStyle w:val="Heading1"/>
        <w:pageBreakBefore/>
      </w:pPr>
      <w:r>
        <w:t xml:space="preserve">Signatures</w:t>
      </w:r>
    </w:p>
    <w:p>
      <w:pPr>
        <w:spacing w:after="120"/>
      </w:pPr>
      <w:r>
        <w:t xml:space="preserve">Agreed by the Parties: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EEEEE" w:val="clear"/>
            <w:tcMar>
              <w:top w:type="dxa" w:w="80"/>
              <w:left w:type="dxa" w:w="120"/>
              <w:bottom w:type="dxa" w:w="80"/>
              <w:right w:type="dxa" w:w="120"/>
            </w:tcMar>
          </w:tcPr>
          <w:p>
            <w:r>
              <w:rPr>
                <w:b/>
                <w:bCs/>
              </w:rPr>
              <w:t xml:space="preserve">For the Controller</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rPr>
              <w:t xml:space="preserve">Signature</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rPr>
              <w:t xml:space="preserve">Name</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rPr>
              <w:t xml:space="preserve">Title</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rPr>
              <w:t xml:space="preserve">Date</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bl>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EEEEE" w:val="clear"/>
            <w:tcMar>
              <w:top w:type="dxa" w:w="80"/>
              <w:left w:type="dxa" w:w="120"/>
              <w:bottom w:type="dxa" w:w="80"/>
              <w:right w:type="dxa" w:w="120"/>
            </w:tcMar>
          </w:tcPr>
          <w:p>
            <w:r>
              <w:rPr>
                <w:b/>
                <w:bCs/>
              </w:rPr>
              <w:t xml:space="preserve">For the Processor</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rPr>
              <w:t xml:space="preserve">Signature</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rPr>
              <w:t xml:space="preserve">Name</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Andy Perryer (trading as PICRAT Suite)</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rPr>
              <w:t xml:space="preserve">Title</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rPr>
              <w:t xml:space="preserve">Date</w:t>
            </w:r>
          </w:p>
        </w:tc>
        <w:tc>
          <w:tcPr>
            <w:tcW w:type="dxa" w:w="6626"/>
            <w:tcBorders>
              <w:top w:val="single" w:color="CCCCCC" w:sz="1"/>
              <w:left w:val="single" w:color="CCCCCC" w:sz="1"/>
              <w:bottom w:val="single" w:color="CCCCCC" w:sz="1"/>
              <w:right w:val="single" w:color="CCCCCC" w:sz="1"/>
            </w:tcBorders>
            <w:tcMar>
              <w:top w:type="dxa" w:w="160"/>
              <w:left w:type="dxa" w:w="120"/>
              <w:bottom w:type="dxa" w:w="160"/>
              <w:right w:type="dxa" w:w="120"/>
            </w:tcMar>
          </w:tcPr>
          <w:p>
            <w:r>
              <w:t xml:space="preserve"/>
            </w:r>
          </w:p>
        </w:tc>
      </w:tr>
    </w:tbl>
    <w:p>
      <w:pPr>
        <w:spacing w:after="60"/>
      </w:pPr>
      <w:r>
        <w:t xml:space="preserve"/>
      </w:r>
    </w:p>
    <w:p>
      <w:pPr>
        <w:pBdr>
          <w:top w:val="single" w:color="999999" w:sz="4" w:space="8"/>
        </w:pBdr>
        <w:spacing w:before="240"/>
      </w:pPr>
      <w:r>
        <w:rPr>
          <w:i/>
          <w:iCs/>
          <w:color w:val="666666"/>
          <w:sz w:val="18"/>
          <w:szCs w:val="18"/>
        </w:rPr>
        <w:t xml:space="preserve">This template is provided by PICRAT Suite as a starting point and is not legal advice. The Controller should review it, and take its own legal advice, before signing.</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Data Processing Agreement, PICRAT Suite   |   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20" w:hanging="360"/>
      </w:pPr>
    </w:lvl>
  </w:abstractNum>
  <w:abstractNum w:abstractNumId="3" w15:restartNumberingAfterBreak="0">
    <w:multiLevelType w:val="hybridMultilevel"/>
    <w:lvl w:ilvl="0" w15:tentative="1">
      <w:start w:val="1"/>
      <w:numFmt w:val="lowerLetter"/>
      <w:lvlText w:val="(%1)"/>
      <w:lvlJc w:val="left"/>
      <w:pPr>
        <w:ind w:left="1080" w:hanging="400"/>
      </w:pPr>
    </w:lvl>
  </w:abstractNum>
  <w:abstractNum w:abstractNumId="4" w15:restartNumberingAfterBreak="0">
    <w:multiLevelType w:val="hybridMultilevel"/>
    <w:lvl w:ilvl="0" w15:tentative="1">
      <w:start w:val="1"/>
      <w:numFmt w:val="decimal"/>
      <w:lvlText w:val="%1."/>
      <w:lvlJc w:val="left"/>
      <w:pPr>
        <w:ind w:left="620" w:hanging="360"/>
      </w:pPr>
    </w:lvl>
  </w:abstractNum>
  <w:abstractNum w:abstractNumId="5" w15:restartNumberingAfterBreak="0">
    <w:multiLevelType w:val="hybridMultilevel"/>
    <w:lvl w:ilvl="0" w15:tentative="1">
      <w:start w:val="1"/>
      <w:numFmt w:val="lowerLetter"/>
      <w:lvlText w:val="(%1)"/>
      <w:lvlJc w:val="left"/>
      <w:pPr>
        <w:ind w:left="1080" w:hanging="400"/>
      </w:pPr>
    </w:lvl>
  </w:abstractNum>
  <w:abstractNum w:abstractNumId="6" w15:restartNumberingAfterBreak="0">
    <w:multiLevelType w:val="hybridMultilevel"/>
    <w:lvl w:ilvl="0" w15:tentative="1">
      <w:start w:val="1"/>
      <w:numFmt w:val="decimal"/>
      <w:lvlText w:val="%1."/>
      <w:lvlJc w:val="left"/>
      <w:pPr>
        <w:ind w:left="620" w:hanging="360"/>
      </w:pPr>
    </w:lvl>
  </w:abstractNum>
  <w:abstractNum w:abstractNumId="7" w15:restartNumberingAfterBreak="0">
    <w:multiLevelType w:val="hybridMultilevel"/>
    <w:lvl w:ilvl="0" w15:tentative="1">
      <w:start w:val="1"/>
      <w:numFmt w:val="lowerLetter"/>
      <w:lvlText w:val="(%1)"/>
      <w:lvlJc w:val="left"/>
      <w:pPr>
        <w:ind w:left="1080" w:hanging="400"/>
      </w:pPr>
    </w:lvl>
  </w:abstractNum>
  <w:abstractNum w:abstractNumId="8" w15:restartNumberingAfterBreak="0">
    <w:multiLevelType w:val="hybridMultilevel"/>
    <w:lvl w:ilvl="0" w15:tentative="1">
      <w:start w:val="1"/>
      <w:numFmt w:val="decimal"/>
      <w:lvlText w:val="%1."/>
      <w:lvlJc w:val="left"/>
      <w:pPr>
        <w:ind w:left="620" w:hanging="360"/>
      </w:pPr>
    </w:lvl>
  </w:abstractNum>
  <w:abstractNum w:abstractNumId="9" w15:restartNumberingAfterBreak="0">
    <w:multiLevelType w:val="hybridMultilevel"/>
    <w:lvl w:ilvl="0" w15:tentative="1">
      <w:start w:val="1"/>
      <w:numFmt w:val="lowerLetter"/>
      <w:lvlText w:val="(%1)"/>
      <w:lvlJc w:val="left"/>
      <w:pPr>
        <w:ind w:left="1080" w:hanging="400"/>
      </w:pPr>
    </w:lvl>
  </w:abstractNum>
  <w:abstractNum w:abstractNumId="10" w15:restartNumberingAfterBreak="0">
    <w:multiLevelType w:val="hybridMultilevel"/>
    <w:lvl w:ilvl="0" w15:tentative="1">
      <w:start w:val="1"/>
      <w:numFmt w:val="decimal"/>
      <w:lvlText w:val="%1."/>
      <w:lvlJc w:val="left"/>
      <w:pPr>
        <w:ind w:left="620" w:hanging="360"/>
      </w:pPr>
    </w:lvl>
  </w:abstractNum>
  <w:abstractNum w:abstractNumId="11" w15:restartNumberingAfterBreak="0">
    <w:multiLevelType w:val="hybridMultilevel"/>
    <w:lvl w:ilvl="0" w15:tentative="1">
      <w:start w:val="1"/>
      <w:numFmt w:val="lowerLetter"/>
      <w:lvlText w:val="(%1)"/>
      <w:lvlJc w:val="left"/>
      <w:pPr>
        <w:ind w:left="1080" w:hanging="400"/>
      </w:pPr>
    </w:lvl>
  </w:abstractNum>
  <w:abstractNum w:abstractNumId="12" w15:restartNumberingAfterBreak="0">
    <w:multiLevelType w:val="hybridMultilevel"/>
    <w:lvl w:ilvl="0" w15:tentative="1">
      <w:start w:val="1"/>
      <w:numFmt w:val="decimal"/>
      <w:lvlText w:val="%1."/>
      <w:lvlJc w:val="left"/>
      <w:pPr>
        <w:ind w:left="620" w:hanging="360"/>
      </w:pPr>
    </w:lvl>
  </w:abstractNum>
  <w:abstractNum w:abstractNumId="13" w15:restartNumberingAfterBreak="0">
    <w:multiLevelType w:val="hybridMultilevel"/>
    <w:lvl w:ilvl="0" w15:tentative="1">
      <w:start w:val="1"/>
      <w:numFmt w:val="lowerLetter"/>
      <w:lvlText w:val="(%1)"/>
      <w:lvlJc w:val="left"/>
      <w:pPr>
        <w:ind w:left="1080" w:hanging="400"/>
      </w:pPr>
    </w:lvl>
  </w:abstractNum>
  <w:abstractNum w:abstractNumId="14" w15:restartNumberingAfterBreak="0">
    <w:multiLevelType w:val="hybridMultilevel"/>
    <w:lvl w:ilvl="0" w15:tentative="1">
      <w:start w:val="1"/>
      <w:numFmt w:val="decimal"/>
      <w:lvlText w:val="%1."/>
      <w:lvlJc w:val="left"/>
      <w:pPr>
        <w:ind w:left="620" w:hanging="360"/>
      </w:pPr>
    </w:lvl>
  </w:abstractNum>
  <w:abstractNum w:abstractNumId="15" w15:restartNumberingAfterBreak="0">
    <w:multiLevelType w:val="hybridMultilevel"/>
    <w:lvl w:ilvl="0" w15:tentative="1">
      <w:start w:val="1"/>
      <w:numFmt w:val="lowerLetter"/>
      <w:lvlText w:val="(%1)"/>
      <w:lvlJc w:val="left"/>
      <w:pPr>
        <w:ind w:left="1080" w:hanging="400"/>
      </w:pPr>
    </w:lvl>
  </w:abstractNum>
  <w:abstractNum w:abstractNumId="16" w15:restartNumberingAfterBreak="0">
    <w:multiLevelType w:val="hybridMultilevel"/>
    <w:lvl w:ilvl="0" w15:tentative="1">
      <w:start w:val="1"/>
      <w:numFmt w:val="decimal"/>
      <w:lvlText w:val="%1."/>
      <w:lvlJc w:val="left"/>
      <w:pPr>
        <w:ind w:left="620" w:hanging="360"/>
      </w:pPr>
    </w:lvl>
  </w:abstractNum>
  <w:abstractNum w:abstractNumId="17" w15:restartNumberingAfterBreak="0">
    <w:multiLevelType w:val="hybridMultilevel"/>
    <w:lvl w:ilvl="0" w15:tentative="1">
      <w:start w:val="1"/>
      <w:numFmt w:val="lowerLetter"/>
      <w:lvlText w:val="(%1)"/>
      <w:lvlJc w:val="left"/>
      <w:pPr>
        <w:ind w:left="1080" w:hanging="400"/>
      </w:pPr>
    </w:lvl>
  </w:abstractNum>
  <w:abstractNum w:abstractNumId="18" w15:restartNumberingAfterBreak="0">
    <w:multiLevelType w:val="hybridMultilevel"/>
    <w:lvl w:ilvl="0" w15:tentative="1">
      <w:start w:val="1"/>
      <w:numFmt w:val="decimal"/>
      <w:lvlText w:val="%1."/>
      <w:lvlJc w:val="left"/>
      <w:pPr>
        <w:ind w:left="620" w:hanging="360"/>
      </w:pPr>
    </w:lvl>
  </w:abstractNum>
  <w:abstractNum w:abstractNumId="19" w15:restartNumberingAfterBreak="0">
    <w:multiLevelType w:val="hybridMultilevel"/>
    <w:lvl w:ilvl="0" w15:tentative="1">
      <w:start w:val="1"/>
      <w:numFmt w:val="lowerLetter"/>
      <w:lvlText w:val="(%1)"/>
      <w:lvlJc w:val="left"/>
      <w:pPr>
        <w:ind w:left="1080" w:hanging="400"/>
      </w:pPr>
    </w:lvl>
  </w:abstractNum>
  <w:abstractNum w:abstractNumId="20" w15:restartNumberingAfterBreak="0">
    <w:multiLevelType w:val="hybridMultilevel"/>
    <w:lvl w:ilvl="0" w15:tentative="1">
      <w:start w:val="1"/>
      <w:numFmt w:val="decimal"/>
      <w:lvlText w:val="%1."/>
      <w:lvlJc w:val="left"/>
      <w:pPr>
        <w:ind w:left="620" w:hanging="360"/>
      </w:pPr>
    </w:lvl>
  </w:abstractNum>
  <w:abstractNum w:abstractNumId="21" w15:restartNumberingAfterBreak="0">
    <w:multiLevelType w:val="hybridMultilevel"/>
    <w:lvl w:ilvl="0" w15:tentative="1">
      <w:start w:val="1"/>
      <w:numFmt w:val="lowerLetter"/>
      <w:lvlText w:val="(%1)"/>
      <w:lvlJc w:val="left"/>
      <w:pPr>
        <w:ind w:left="1080" w:hanging="400"/>
      </w:pPr>
    </w:lvl>
  </w:abstractNum>
  <w:abstractNum w:abstractNumId="22" w15:restartNumberingAfterBreak="0">
    <w:multiLevelType w:val="hybridMultilevel"/>
    <w:lvl w:ilvl="0" w15:tentative="1">
      <w:start w:val="1"/>
      <w:numFmt w:val="decimal"/>
      <w:lvlText w:val="%1."/>
      <w:lvlJc w:val="left"/>
      <w:pPr>
        <w:ind w:left="620" w:hanging="360"/>
      </w:pPr>
    </w:lvl>
  </w:abstractNum>
  <w:abstractNum w:abstractNumId="23" w15:restartNumberingAfterBreak="0">
    <w:multiLevelType w:val="hybridMultilevel"/>
    <w:lvl w:ilvl="0" w15:tentative="1">
      <w:start w:val="1"/>
      <w:numFmt w:val="lowerLetter"/>
      <w:lvlText w:val="(%1)"/>
      <w:lvlJc w:val="left"/>
      <w:pPr>
        <w:ind w:left="1080" w:hanging="400"/>
      </w:pPr>
    </w:lvl>
  </w:abstractNum>
  <w:abstractNum w:abstractNumId="24" w15:restartNumberingAfterBreak="0">
    <w:multiLevelType w:val="hybridMultilevel"/>
    <w:lvl w:ilvl="0" w15:tentative="1">
      <w:start w:val="1"/>
      <w:numFmt w:val="decimal"/>
      <w:lvlText w:val="%1."/>
      <w:lvlJc w:val="left"/>
      <w:pPr>
        <w:ind w:left="620" w:hanging="360"/>
      </w:pPr>
    </w:lvl>
  </w:abstractNum>
  <w:abstractNum w:abstractNumId="25" w15:restartNumberingAfterBreak="0">
    <w:multiLevelType w:val="hybridMultilevel"/>
    <w:lvl w:ilvl="0" w15:tentative="1">
      <w:start w:val="1"/>
      <w:numFmt w:val="lowerLetter"/>
      <w:lvlText w:val="(%1)"/>
      <w:lvlJc w:val="left"/>
      <w:pPr>
        <w:ind w:left="1080" w:hanging="400"/>
      </w:pPr>
    </w:lvl>
  </w:abstractNum>
  <w:abstractNum w:abstractNumId="26" w15:restartNumberingAfterBreak="0">
    <w:multiLevelType w:val="hybridMultilevel"/>
    <w:lvl w:ilvl="0" w15:tentative="1">
      <w:start w:val="1"/>
      <w:numFmt w:val="decimal"/>
      <w:lvlText w:val="%1."/>
      <w:lvlJc w:val="left"/>
      <w:pPr>
        <w:ind w:left="620" w:hanging="360"/>
      </w:pPr>
    </w:lvl>
  </w:abstractNum>
  <w:abstractNum w:abstractNumId="27" w15:restartNumberingAfterBreak="0">
    <w:multiLevelType w:val="hybridMultilevel"/>
    <w:lvl w:ilvl="0" w15:tentative="1">
      <w:start w:val="1"/>
      <w:numFmt w:val="lowerLetter"/>
      <w:lvlText w:val="(%1)"/>
      <w:lvlJc w:val="left"/>
      <w:pPr>
        <w:ind w:left="1080" w:hanging="400"/>
      </w:pPr>
    </w:lvl>
  </w:abstractNum>
  <w:abstractNum w:abstractNumId="28" w15:restartNumberingAfterBreak="0">
    <w:multiLevelType w:val="hybridMultilevel"/>
    <w:lvl w:ilvl="0" w15:tentative="1">
      <w:start w:val="1"/>
      <w:numFmt w:val="decimal"/>
      <w:lvlText w:val="%1."/>
      <w:lvlJc w:val="left"/>
      <w:pPr>
        <w:ind w:left="620" w:hanging="360"/>
      </w:pPr>
    </w:lvl>
  </w:abstractNum>
  <w:abstractNum w:abstractNumId="29" w15:restartNumberingAfterBreak="0">
    <w:multiLevelType w:val="hybridMultilevel"/>
    <w:lvl w:ilvl="0" w15:tentative="1">
      <w:start w:val="1"/>
      <w:numFmt w:val="lowerLetter"/>
      <w:lvlText w:val="(%1)"/>
      <w:lvlJc w:val="left"/>
      <w:pPr>
        <w:ind w:left="1080" w:hanging="400"/>
      </w:pPr>
    </w:lvl>
  </w:abstractNum>
  <w:abstractNum w:abstractNumId="30" w15:restartNumberingAfterBreak="0">
    <w:multiLevelType w:val="hybridMultilevel"/>
    <w:lvl w:ilvl="0" w15:tentative="1">
      <w:start w:val="1"/>
      <w:numFmt w:val="decimal"/>
      <w:lvlText w:val="%1."/>
      <w:lvlJc w:val="left"/>
      <w:pPr>
        <w:ind w:left="620" w:hanging="360"/>
      </w:pPr>
    </w:lvl>
  </w:abstractNum>
  <w:abstractNum w:abstractNumId="31" w15:restartNumberingAfterBreak="0">
    <w:multiLevelType w:val="hybridMultilevel"/>
    <w:lvl w:ilvl="0" w15:tentative="1">
      <w:start w:val="1"/>
      <w:numFmt w:val="lowerLetter"/>
      <w:lvlText w:val="(%1)"/>
      <w:lvlJc w:val="left"/>
      <w:pPr>
        <w:ind w:left="1080" w:hanging="400"/>
      </w:pPr>
    </w:lvl>
  </w:abstractNum>
  <w:abstractNum w:abstractNumId="32" w15:restartNumberingAfterBreak="0">
    <w:multiLevelType w:val="hybridMultilevel"/>
    <w:lvl w:ilvl="0" w15:tentative="1">
      <w:start w:val="1"/>
      <w:numFmt w:val="decimal"/>
      <w:lvlText w:val="%1."/>
      <w:lvlJc w:val="left"/>
      <w:pPr>
        <w:ind w:left="620" w:hanging="360"/>
      </w:pPr>
    </w:lvl>
  </w:abstractNum>
  <w:abstractNum w:abstractNumId="33" w15:restartNumberingAfterBreak="0">
    <w:multiLevelType w:val="hybridMultilevel"/>
    <w:lvl w:ilvl="0" w15:tentative="1">
      <w:start w:val="1"/>
      <w:numFmt w:val="lowerLetter"/>
      <w:lvlText w:val="(%1)"/>
      <w:lvlJc w:val="left"/>
      <w:pPr>
        <w:ind w:left="1080" w:hanging="400"/>
      </w:pPr>
    </w:lvl>
  </w:abstractNum>
  <w:abstractNum w:abstractNumId="34" w15:restartNumberingAfterBreak="0">
    <w:multiLevelType w:val="hybridMultilevel"/>
    <w:lvl w:ilvl="0" w15:tentative="1">
      <w:start w:val="1"/>
      <w:numFmt w:val="decimal"/>
      <w:lvlText w:val="%1."/>
      <w:lvlJc w:val="left"/>
      <w:pPr>
        <w:ind w:left="620" w:hanging="360"/>
      </w:pPr>
    </w:lvl>
  </w:abstractNum>
  <w:abstractNum w:abstractNumId="35" w15:restartNumberingAfterBreak="0">
    <w:multiLevelType w:val="hybridMultilevel"/>
    <w:lvl w:ilvl="0" w15:tentative="1">
      <w:start w:val="1"/>
      <w:numFmt w:val="lowerLetter"/>
      <w:lvlText w:val="(%1)"/>
      <w:lvlJc w:val="left"/>
      <w:pPr>
        <w:ind w:left="1080" w:hanging="400"/>
      </w:pPr>
    </w:lvl>
  </w:abstractNum>
  <w:abstractNum w:abstractNumId="36" w15:restartNumberingAfterBreak="0">
    <w:multiLevelType w:val="hybridMultilevel"/>
    <w:lvl w:ilvl="0" w15:tentative="1">
      <w:start w:val="1"/>
      <w:numFmt w:val="decimal"/>
      <w:lvlText w:val="%1."/>
      <w:lvlJc w:val="left"/>
      <w:pPr>
        <w:ind w:left="620" w:hanging="360"/>
      </w:pPr>
    </w:lvl>
  </w:abstractNum>
  <w:abstractNum w:abstractNumId="37" w15:restartNumberingAfterBreak="0">
    <w:multiLevelType w:val="hybridMultilevel"/>
    <w:lvl w:ilvl="0" w15:tentative="1">
      <w:start w:val="1"/>
      <w:numFmt w:val="lowerLetter"/>
      <w:lvlText w:val="(%1)"/>
      <w:lvlJc w:val="left"/>
      <w:pPr>
        <w:ind w:left="1080" w:hanging="400"/>
      </w:pPr>
    </w:lvl>
  </w:abstractNum>
  <w:abstractNum w:abstractNumId="38" w15:restartNumberingAfterBreak="0">
    <w:multiLevelType w:val="hybridMultilevel"/>
    <w:lvl w:ilvl="0" w15:tentative="1">
      <w:start w:val="1"/>
      <w:numFmt w:val="decimal"/>
      <w:lvlText w:val="%1."/>
      <w:lvlJc w:val="left"/>
      <w:pPr>
        <w:ind w:left="620" w:hanging="360"/>
      </w:pPr>
    </w:lvl>
  </w:abstractNum>
  <w:abstractNum w:abstractNumId="39" w15:restartNumberingAfterBreak="0">
    <w:multiLevelType w:val="hybridMultilevel"/>
    <w:lvl w:ilvl="0" w15:tentative="1">
      <w:start w:val="1"/>
      <w:numFmt w:val="lowerLetter"/>
      <w:lvlText w:val="(%1)"/>
      <w:lvlJc w:val="left"/>
      <w:pPr>
        <w:ind w:left="1080" w:hanging="400"/>
      </w:pPr>
    </w:lvl>
  </w:abstractNum>
  <w:abstractNum w:abstractNumId="40" w15:restartNumberingAfterBreak="0">
    <w:multiLevelType w:val="hybridMultilevel"/>
    <w:lvl w:ilvl="0" w15:tentative="1">
      <w:start w:val="1"/>
      <w:numFmt w:val="decimal"/>
      <w:lvlText w:val="%1."/>
      <w:lvlJc w:val="left"/>
      <w:pPr>
        <w:ind w:left="620" w:hanging="360"/>
      </w:pPr>
    </w:lvl>
  </w:abstractNum>
  <w:abstractNum w:abstractNumId="41" w15:restartNumberingAfterBreak="0">
    <w:multiLevelType w:val="hybridMultilevel"/>
    <w:lvl w:ilvl="0" w15:tentative="1">
      <w:start w:val="1"/>
      <w:numFmt w:val="lowerLetter"/>
      <w:lvlText w:val="(%1)"/>
      <w:lvlJc w:val="left"/>
      <w:pPr>
        <w:ind w:left="1080" w:hanging="40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7"/>
    <w:lvlOverride w:ilvl="0">
      <w:startOverride w:val="1"/>
    </w:lvlOverride>
  </w:num>
  <w:num w:numId="5">
    <w:abstractNumId w:val="8"/>
    <w:lvlOverride w:ilvl="0">
      <w:startOverride w:val="1"/>
    </w:lvlOverride>
  </w:num>
  <w:num w:numId="6">
    <w:abstractNumId w:val="10"/>
    <w:lvlOverride w:ilvl="0">
      <w:startOverride w:val="1"/>
    </w:lvlOverride>
  </w:num>
  <w:num w:numId="7">
    <w:abstractNumId w:val="12"/>
    <w:lvlOverride w:ilvl="0">
      <w:startOverride w:val="1"/>
    </w:lvlOverride>
  </w:num>
  <w:num w:numId="8">
    <w:abstractNumId w:val="14"/>
    <w:lvlOverride w:ilvl="0">
      <w:startOverride w:val="1"/>
    </w:lvlOverride>
  </w:num>
  <w:num w:numId="9">
    <w:abstractNumId w:val="16"/>
    <w:lvlOverride w:ilvl="0">
      <w:startOverride w:val="1"/>
    </w:lvlOverride>
  </w:num>
  <w:num w:numId="10">
    <w:abstractNumId w:val="18"/>
    <w:lvlOverride w:ilvl="0">
      <w:startOverride w:val="1"/>
    </w:lvlOverride>
  </w:num>
  <w:num w:numId="11">
    <w:abstractNumId w:val="20"/>
    <w:lvlOverride w:ilvl="0">
      <w:startOverride w:val="1"/>
    </w:lvlOverride>
  </w:num>
  <w:num w:numId="12">
    <w:abstractNumId w:val="22"/>
    <w:lvlOverride w:ilvl="0">
      <w:startOverride w:val="1"/>
    </w:lvlOverride>
  </w:num>
  <w:num w:numId="13">
    <w:abstractNumId w:val="24"/>
    <w:lvlOverride w:ilvl="0">
      <w:startOverride w:val="1"/>
    </w:lvlOverride>
  </w:num>
  <w:num w:numId="14">
    <w:abstractNumId w:val="26"/>
    <w:lvlOverride w:ilvl="0">
      <w:startOverride w:val="1"/>
    </w:lvlOverride>
  </w:num>
  <w:num w:numId="15">
    <w:abstractNumId w:val="3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1a1a"/>
      <w:sz w:val="26"/>
      <w:szCs w:val="26"/>
    </w:rPr>
  </w:style>
  <w:style w:type="paragraph" w:styleId="Heading2">
    <w:name w:val="Heading 2"/>
    <w:basedOn w:val="Normal"/>
    <w:next w:val="Normal"/>
    <w:qFormat/>
    <w:pPr>
      <w:spacing w:after="100" w:before="160"/>
      <w:outlineLvl w:val="1"/>
    </w:pPr>
    <w:rPr>
      <w:rFonts w:ascii="Arial" w:cs="Arial" w:eastAsia="Arial" w:hAnsi="Arial"/>
      <w:b/>
      <w:bCs/>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Processing Agreement - PICRAT Suite</dc:title>
  <dc:creator>PICRAT Suite</dc:creator>
  <cp:lastModifiedBy>Un-named</cp:lastModifiedBy>
  <cp:revision>1</cp:revision>
  <dcterms:created xsi:type="dcterms:W3CDTF">2026-07-01T15:47:32.124Z</dcterms:created>
  <dcterms:modified xsi:type="dcterms:W3CDTF">2026-07-01T15:47:32.124Z</dcterms:modified>
</cp:coreProperties>
</file>

<file path=docProps/custom.xml><?xml version="1.0" encoding="utf-8"?>
<Properties xmlns="http://schemas.openxmlformats.org/officeDocument/2006/custom-properties" xmlns:vt="http://schemas.openxmlformats.org/officeDocument/2006/docPropsVTypes"/>
</file>